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6"/>
        </w:rPr>
        <w:t>Proportional Reasoning — Editable Word Companion</w:t>
      </w:r>
    </w:p>
    <w:p>
      <w:r>
        <w:t>This download contains editable Microsoft Word versions of the consumable student work and teacher-only implementation resources that accompany Proportional Reasoning: Fractions, Decimals, Percents, Ratios, and Rates — Book 3. It does not replace the book. Use the book for instruction, models, worked examples, explanations, and lesson flow.</w:t>
      </w:r>
    </w:p>
    <w:p>
      <w:pPr>
        <w:pStyle w:val="Heading1"/>
      </w:pPr>
      <w:r>
        <w:t>How to Use This Download</w:t>
      </w:r>
    </w:p>
    <w:p>
      <w:r>
        <w:t>Keep files in 02_Teacher_Guides_and_Diagnostic_Keys out of student hands. They contain answers, likely-error diagnoses, and next instructional moves.</w:t>
      </w:r>
    </w:p>
    <w:tbl>
      <w:tblPr>
        <w:tblStyle w:val="TableGrid"/>
        <w:tblW w:type="auto" w:w="0"/>
        <w:tblLook w:firstColumn="1" w:firstRow="1" w:lastColumn="0" w:lastRow="0" w:noHBand="0" w:noVBand="1" w:val="04A0"/>
      </w:tblPr>
      <w:tblGrid>
        <w:gridCol w:w="3360"/>
        <w:gridCol w:w="3360"/>
        <w:gridCol w:w="3360"/>
      </w:tblGrid>
      <w:tr>
        <w:tc>
          <w:tcPr>
            <w:tcW w:type="dxa" w:w="3360"/>
          </w:tcPr>
          <w:p>
            <w:r>
              <w:t>When</w:t>
            </w:r>
          </w:p>
        </w:tc>
        <w:tc>
          <w:tcPr>
            <w:tcW w:type="dxa" w:w="3360"/>
          </w:tcPr>
          <w:p>
            <w:r>
              <w:t>Print</w:t>
            </w:r>
          </w:p>
        </w:tc>
        <w:tc>
          <w:tcPr>
            <w:tcW w:type="dxa" w:w="3360"/>
          </w:tcPr>
          <w:p>
            <w:r>
              <w:t>Purpose</w:t>
            </w:r>
          </w:p>
        </w:tc>
      </w:tr>
      <w:tr>
        <w:tc>
          <w:tcPr>
            <w:tcW w:type="dxa" w:w="3360"/>
          </w:tcPr>
          <w:p>
            <w:r>
              <w:t>Before the chapter</w:t>
            </w:r>
          </w:p>
        </w:tc>
        <w:tc>
          <w:tcPr>
            <w:tcW w:type="dxa" w:w="3360"/>
          </w:tcPr>
          <w:p>
            <w:r>
              <w:t>Ready-to-Learn Check and teacher guide</w:t>
            </w:r>
          </w:p>
        </w:tc>
        <w:tc>
          <w:tcPr>
            <w:tcW w:type="dxa" w:w="3360"/>
          </w:tcPr>
          <w:p>
            <w:r>
              <w:t>Confirm prerequisites and plan supports.</w:t>
            </w:r>
          </w:p>
        </w:tc>
      </w:tr>
      <w:tr>
        <w:tc>
          <w:tcPr>
            <w:tcW w:type="dxa" w:w="3360"/>
          </w:tcPr>
          <w:p>
            <w:r>
              <w:t>During practice</w:t>
            </w:r>
          </w:p>
        </w:tc>
        <w:tc>
          <w:tcPr>
            <w:tcW w:type="dxa" w:w="3360"/>
          </w:tcPr>
          <w:p>
            <w:r>
              <w:t>Worksheet A, then B or C as needed</w:t>
            </w:r>
          </w:p>
        </w:tc>
        <w:tc>
          <w:tcPr>
            <w:tcW w:type="dxa" w:w="3360"/>
          </w:tcPr>
          <w:p>
            <w:r>
              <w:t>Match practice to the student’s independence.</w:t>
            </w:r>
          </w:p>
        </w:tc>
      </w:tr>
      <w:tr>
        <w:tc>
          <w:tcPr>
            <w:tcW w:type="dxa" w:w="3360"/>
          </w:tcPr>
          <w:p>
            <w:r>
              <w:t>After core practice</w:t>
            </w:r>
          </w:p>
        </w:tc>
        <w:tc>
          <w:tcPr>
            <w:tcW w:type="dxa" w:w="3360"/>
          </w:tcPr>
          <w:p>
            <w:r>
              <w:t>Extend Your Thinking or Revision, Strategy, and Transfer Packet</w:t>
            </w:r>
          </w:p>
        </w:tc>
        <w:tc>
          <w:tcPr>
            <w:tcW w:type="dxa" w:w="3360"/>
          </w:tcPr>
          <w:p>
            <w:r>
              <w:t>Deepen reasoning without repeating the lesson.</w:t>
            </w:r>
          </w:p>
        </w:tc>
      </w:tr>
      <w:tr>
        <w:tc>
          <w:tcPr>
            <w:tcW w:type="dxa" w:w="3360"/>
          </w:tcPr>
          <w:p>
            <w:r>
              <w:t>Before moving on</w:t>
            </w:r>
          </w:p>
        </w:tc>
        <w:tc>
          <w:tcPr>
            <w:tcW w:type="dxa" w:w="3360"/>
          </w:tcPr>
          <w:p>
            <w:r>
              <w:t>Tripwire Check and Exit Ticket</w:t>
            </w:r>
          </w:p>
        </w:tc>
        <w:tc>
          <w:tcPr>
            <w:tcW w:type="dxa" w:w="3360"/>
          </w:tcPr>
          <w:p>
            <w:r>
              <w:t>Check for misconceptions and short-form mastery.</w:t>
            </w:r>
          </w:p>
        </w:tc>
      </w:tr>
    </w:tbl>
    <w:p>
      <w:pPr>
        <w:pStyle w:val="Heading1"/>
      </w:pPr>
      <w:r>
        <w:t>What Is Included</w:t>
      </w:r>
    </w:p>
    <w:p>
      <w:r>
        <w:t>This package includes 126 student work documents and 16 teacher-guide and diagnostic-answer-key documents.</w:t>
      </w:r>
    </w:p>
    <w:tbl>
      <w:tblPr>
        <w:tblStyle w:val="TableGrid"/>
        <w:tblW w:type="auto" w:w="0"/>
        <w:tblLook w:firstColumn="1" w:firstRow="1" w:lastColumn="0" w:lastRow="0" w:noHBand="0" w:noVBand="1" w:val="04A0"/>
      </w:tblPr>
      <w:tblGrid>
        <w:gridCol w:w="2520"/>
        <w:gridCol w:w="2520"/>
        <w:gridCol w:w="2520"/>
        <w:gridCol w:w="2520"/>
      </w:tblGrid>
      <w:tr>
        <w:tc>
          <w:tcPr>
            <w:tcW w:type="dxa" w:w="2520"/>
          </w:tcPr>
          <w:p>
            <w:r>
              <w:t>Chapter</w:t>
            </w:r>
          </w:p>
        </w:tc>
        <w:tc>
          <w:tcPr>
            <w:tcW w:type="dxa" w:w="2520"/>
          </w:tcPr>
          <w:p>
            <w:r>
              <w:t>Topic</w:t>
            </w:r>
          </w:p>
        </w:tc>
        <w:tc>
          <w:tcPr>
            <w:tcW w:type="dxa" w:w="2520"/>
          </w:tcPr>
          <w:p>
            <w:r>
              <w:t>Student files</w:t>
            </w:r>
          </w:p>
        </w:tc>
        <w:tc>
          <w:tcPr>
            <w:tcW w:type="dxa" w:w="2520"/>
          </w:tcPr>
          <w:p>
            <w:r>
              <w:t>Teacher files</w:t>
            </w:r>
          </w:p>
        </w:tc>
      </w:tr>
      <w:tr>
        <w:tc>
          <w:tcPr>
            <w:tcW w:type="dxa" w:w="2520"/>
          </w:tcPr>
          <w:p>
            <w:r>
              <w:t>1</w:t>
            </w:r>
          </w:p>
        </w:tc>
        <w:tc>
          <w:tcPr>
            <w:tcW w:type="dxa" w:w="2520"/>
          </w:tcPr>
          <w:p>
            <w:r>
              <w:t>What Proportional Reasoning Means</w:t>
            </w:r>
          </w:p>
        </w:tc>
        <w:tc>
          <w:tcPr>
            <w:tcW w:type="dxa" w:w="2520"/>
          </w:tcPr>
          <w:p>
            <w:r>
              <w:t>8</w:t>
            </w:r>
          </w:p>
        </w:tc>
        <w:tc>
          <w:tcPr>
            <w:tcW w:type="dxa" w:w="2520"/>
          </w:tcPr>
          <w:p>
            <w:r>
              <w:t>1</w:t>
            </w:r>
          </w:p>
        </w:tc>
      </w:tr>
      <w:tr>
        <w:tc>
          <w:tcPr>
            <w:tcW w:type="dxa" w:w="2520"/>
          </w:tcPr>
          <w:p>
            <w:r>
              <w:t>2</w:t>
            </w:r>
          </w:p>
        </w:tc>
        <w:tc>
          <w:tcPr>
            <w:tcW w:type="dxa" w:w="2520"/>
          </w:tcPr>
          <w:p>
            <w:r>
              <w:t>Fractions as Relationships</w:t>
            </w:r>
          </w:p>
        </w:tc>
        <w:tc>
          <w:tcPr>
            <w:tcW w:type="dxa" w:w="2520"/>
          </w:tcPr>
          <w:p>
            <w:r>
              <w:t>8</w:t>
            </w:r>
          </w:p>
        </w:tc>
        <w:tc>
          <w:tcPr>
            <w:tcW w:type="dxa" w:w="2520"/>
          </w:tcPr>
          <w:p>
            <w:r>
              <w:t>1</w:t>
            </w:r>
          </w:p>
        </w:tc>
      </w:tr>
      <w:tr>
        <w:tc>
          <w:tcPr>
            <w:tcW w:type="dxa" w:w="2520"/>
          </w:tcPr>
          <w:p>
            <w:r>
              <w:t>3</w:t>
            </w:r>
          </w:p>
        </w:tc>
        <w:tc>
          <w:tcPr>
            <w:tcW w:type="dxa" w:w="2520"/>
          </w:tcPr>
          <w:p>
            <w:r>
              <w:t>Fraction Operations for Scaling and Sharing</w:t>
            </w:r>
          </w:p>
        </w:tc>
        <w:tc>
          <w:tcPr>
            <w:tcW w:type="dxa" w:w="2520"/>
          </w:tcPr>
          <w:p>
            <w:r>
              <w:t>8</w:t>
            </w:r>
          </w:p>
        </w:tc>
        <w:tc>
          <w:tcPr>
            <w:tcW w:type="dxa" w:w="2520"/>
          </w:tcPr>
          <w:p>
            <w:r>
              <w:t>1</w:t>
            </w:r>
          </w:p>
        </w:tc>
      </w:tr>
      <w:tr>
        <w:tc>
          <w:tcPr>
            <w:tcW w:type="dxa" w:w="2520"/>
          </w:tcPr>
          <w:p>
            <w:r>
              <w:t>4</w:t>
            </w:r>
          </w:p>
        </w:tc>
        <w:tc>
          <w:tcPr>
            <w:tcW w:type="dxa" w:w="2520"/>
          </w:tcPr>
          <w:p>
            <w:r>
              <w:t>Fractions, Decimals, and Percents as Three Languages</w:t>
            </w:r>
          </w:p>
        </w:tc>
        <w:tc>
          <w:tcPr>
            <w:tcW w:type="dxa" w:w="2520"/>
          </w:tcPr>
          <w:p>
            <w:r>
              <w:t>8</w:t>
            </w:r>
          </w:p>
        </w:tc>
        <w:tc>
          <w:tcPr>
            <w:tcW w:type="dxa" w:w="2520"/>
          </w:tcPr>
          <w:p>
            <w:r>
              <w:t>1</w:t>
            </w:r>
          </w:p>
        </w:tc>
      </w:tr>
      <w:tr>
        <w:tc>
          <w:tcPr>
            <w:tcW w:type="dxa" w:w="2520"/>
          </w:tcPr>
          <w:p>
            <w:r>
              <w:t>5</w:t>
            </w:r>
          </w:p>
        </w:tc>
        <w:tc>
          <w:tcPr>
            <w:tcW w:type="dxa" w:w="2520"/>
          </w:tcPr>
          <w:p>
            <w:r>
              <w:t>Percent Means Out of 100</w:t>
            </w:r>
          </w:p>
        </w:tc>
        <w:tc>
          <w:tcPr>
            <w:tcW w:type="dxa" w:w="2520"/>
          </w:tcPr>
          <w:p>
            <w:r>
              <w:t>8</w:t>
            </w:r>
          </w:p>
        </w:tc>
        <w:tc>
          <w:tcPr>
            <w:tcW w:type="dxa" w:w="2520"/>
          </w:tcPr>
          <w:p>
            <w:r>
              <w:t>1</w:t>
            </w:r>
          </w:p>
        </w:tc>
      </w:tr>
      <w:tr>
        <w:tc>
          <w:tcPr>
            <w:tcW w:type="dxa" w:w="2520"/>
          </w:tcPr>
          <w:p>
            <w:r>
              <w:t>6</w:t>
            </w:r>
          </w:p>
        </w:tc>
        <w:tc>
          <w:tcPr>
            <w:tcW w:type="dxa" w:w="2520"/>
          </w:tcPr>
          <w:p>
            <w:r>
              <w:t>Finding the Part, the Whole, or the Percent</w:t>
            </w:r>
          </w:p>
        </w:tc>
        <w:tc>
          <w:tcPr>
            <w:tcW w:type="dxa" w:w="2520"/>
          </w:tcPr>
          <w:p>
            <w:r>
              <w:t>7</w:t>
            </w:r>
          </w:p>
        </w:tc>
        <w:tc>
          <w:tcPr>
            <w:tcW w:type="dxa" w:w="2520"/>
          </w:tcPr>
          <w:p>
            <w:r>
              <w:t>1</w:t>
            </w:r>
          </w:p>
        </w:tc>
      </w:tr>
      <w:tr>
        <w:tc>
          <w:tcPr>
            <w:tcW w:type="dxa" w:w="2520"/>
          </w:tcPr>
          <w:p>
            <w:r>
              <w:t>7</w:t>
            </w:r>
          </w:p>
        </w:tc>
        <w:tc>
          <w:tcPr>
            <w:tcW w:type="dxa" w:w="2520"/>
          </w:tcPr>
          <w:p>
            <w:r>
              <w:t>Percent Increase, Decrease, Discount, Tax, Markup, and Tip</w:t>
            </w:r>
          </w:p>
        </w:tc>
        <w:tc>
          <w:tcPr>
            <w:tcW w:type="dxa" w:w="2520"/>
          </w:tcPr>
          <w:p>
            <w:r>
              <w:t>8</w:t>
            </w:r>
          </w:p>
        </w:tc>
        <w:tc>
          <w:tcPr>
            <w:tcW w:type="dxa" w:w="2520"/>
          </w:tcPr>
          <w:p>
            <w:r>
              <w:t>1</w:t>
            </w:r>
          </w:p>
        </w:tc>
      </w:tr>
      <w:tr>
        <w:tc>
          <w:tcPr>
            <w:tcW w:type="dxa" w:w="2520"/>
          </w:tcPr>
          <w:p>
            <w:r>
              <w:t>8</w:t>
            </w:r>
          </w:p>
        </w:tc>
        <w:tc>
          <w:tcPr>
            <w:tcW w:type="dxa" w:w="2520"/>
          </w:tcPr>
          <w:p>
            <w:r>
              <w:t>Multi-Step Percent Problems</w:t>
            </w:r>
          </w:p>
        </w:tc>
        <w:tc>
          <w:tcPr>
            <w:tcW w:type="dxa" w:w="2520"/>
          </w:tcPr>
          <w:p>
            <w:r>
              <w:t>8</w:t>
            </w:r>
          </w:p>
        </w:tc>
        <w:tc>
          <w:tcPr>
            <w:tcW w:type="dxa" w:w="2520"/>
          </w:tcPr>
          <w:p>
            <w:r>
              <w:t>1</w:t>
            </w:r>
          </w:p>
        </w:tc>
      </w:tr>
      <w:tr>
        <w:tc>
          <w:tcPr>
            <w:tcW w:type="dxa" w:w="2520"/>
          </w:tcPr>
          <w:p>
            <w:r>
              <w:t>9</w:t>
            </w:r>
          </w:p>
        </w:tc>
        <w:tc>
          <w:tcPr>
            <w:tcW w:type="dxa" w:w="2520"/>
          </w:tcPr>
          <w:p>
            <w:r>
              <w:t>Ratios: Part-to-Part and Part-to-Whole</w:t>
            </w:r>
          </w:p>
        </w:tc>
        <w:tc>
          <w:tcPr>
            <w:tcW w:type="dxa" w:w="2520"/>
          </w:tcPr>
          <w:p>
            <w:r>
              <w:t>8</w:t>
            </w:r>
          </w:p>
        </w:tc>
        <w:tc>
          <w:tcPr>
            <w:tcW w:type="dxa" w:w="2520"/>
          </w:tcPr>
          <w:p>
            <w:r>
              <w:t>1</w:t>
            </w:r>
          </w:p>
        </w:tc>
      </w:tr>
      <w:tr>
        <w:tc>
          <w:tcPr>
            <w:tcW w:type="dxa" w:w="2520"/>
          </w:tcPr>
          <w:p>
            <w:r>
              <w:t>10</w:t>
            </w:r>
          </w:p>
        </w:tc>
        <w:tc>
          <w:tcPr>
            <w:tcW w:type="dxa" w:w="2520"/>
          </w:tcPr>
          <w:p>
            <w:r>
              <w:t>Equivalent Ratios and Ratio Tables</w:t>
            </w:r>
          </w:p>
        </w:tc>
        <w:tc>
          <w:tcPr>
            <w:tcW w:type="dxa" w:w="2520"/>
          </w:tcPr>
          <w:p>
            <w:r>
              <w:t>8</w:t>
            </w:r>
          </w:p>
        </w:tc>
        <w:tc>
          <w:tcPr>
            <w:tcW w:type="dxa" w:w="2520"/>
          </w:tcPr>
          <w:p>
            <w:r>
              <w:t>1</w:t>
            </w:r>
          </w:p>
        </w:tc>
      </w:tr>
      <w:tr>
        <w:tc>
          <w:tcPr>
            <w:tcW w:type="dxa" w:w="2520"/>
          </w:tcPr>
          <w:p>
            <w:r>
              <w:t>11</w:t>
            </w:r>
          </w:p>
        </w:tc>
        <w:tc>
          <w:tcPr>
            <w:tcW w:type="dxa" w:w="2520"/>
          </w:tcPr>
          <w:p>
            <w:r>
              <w:t>Rates and Unit Rates</w:t>
            </w:r>
          </w:p>
        </w:tc>
        <w:tc>
          <w:tcPr>
            <w:tcW w:type="dxa" w:w="2520"/>
          </w:tcPr>
          <w:p>
            <w:r>
              <w:t>8</w:t>
            </w:r>
          </w:p>
        </w:tc>
        <w:tc>
          <w:tcPr>
            <w:tcW w:type="dxa" w:w="2520"/>
          </w:tcPr>
          <w:p>
            <w:r>
              <w:t>1</w:t>
            </w:r>
          </w:p>
        </w:tc>
      </w:tr>
      <w:tr>
        <w:tc>
          <w:tcPr>
            <w:tcW w:type="dxa" w:w="2520"/>
          </w:tcPr>
          <w:p>
            <w:r>
              <w:t>12</w:t>
            </w:r>
          </w:p>
        </w:tc>
        <w:tc>
          <w:tcPr>
            <w:tcW w:type="dxa" w:w="2520"/>
          </w:tcPr>
          <w:p>
            <w:r>
              <w:t>Comparing Rates and Best Buys</w:t>
            </w:r>
          </w:p>
        </w:tc>
        <w:tc>
          <w:tcPr>
            <w:tcW w:type="dxa" w:w="2520"/>
          </w:tcPr>
          <w:p>
            <w:r>
              <w:t>8</w:t>
            </w:r>
          </w:p>
        </w:tc>
        <w:tc>
          <w:tcPr>
            <w:tcW w:type="dxa" w:w="2520"/>
          </w:tcPr>
          <w:p>
            <w:r>
              <w:t>1</w:t>
            </w:r>
          </w:p>
        </w:tc>
      </w:tr>
      <w:tr>
        <w:tc>
          <w:tcPr>
            <w:tcW w:type="dxa" w:w="2520"/>
          </w:tcPr>
          <w:p>
            <w:r>
              <w:t>13</w:t>
            </w:r>
          </w:p>
        </w:tc>
        <w:tc>
          <w:tcPr>
            <w:tcW w:type="dxa" w:w="2520"/>
          </w:tcPr>
          <w:p>
            <w:r>
              <w:t>Solving Proportions with More Than One Strategy</w:t>
            </w:r>
          </w:p>
        </w:tc>
        <w:tc>
          <w:tcPr>
            <w:tcW w:type="dxa" w:w="2520"/>
          </w:tcPr>
          <w:p>
            <w:r>
              <w:t>8</w:t>
            </w:r>
          </w:p>
        </w:tc>
        <w:tc>
          <w:tcPr>
            <w:tcW w:type="dxa" w:w="2520"/>
          </w:tcPr>
          <w:p>
            <w:r>
              <w:t>1</w:t>
            </w:r>
          </w:p>
        </w:tc>
      </w:tr>
      <w:tr>
        <w:tc>
          <w:tcPr>
            <w:tcW w:type="dxa" w:w="2520"/>
          </w:tcPr>
          <w:p>
            <w:r>
              <w:t>14</w:t>
            </w:r>
          </w:p>
        </w:tc>
        <w:tc>
          <w:tcPr>
            <w:tcW w:type="dxa" w:w="2520"/>
          </w:tcPr>
          <w:p>
            <w:r>
              <w:t>Proportional Relationships in Tables, Graphs, and Equations</w:t>
            </w:r>
          </w:p>
        </w:tc>
        <w:tc>
          <w:tcPr>
            <w:tcW w:type="dxa" w:w="2520"/>
          </w:tcPr>
          <w:p>
            <w:r>
              <w:t>8</w:t>
            </w:r>
          </w:p>
        </w:tc>
        <w:tc>
          <w:tcPr>
            <w:tcW w:type="dxa" w:w="2520"/>
          </w:tcPr>
          <w:p>
            <w:r>
              <w:t>1</w:t>
            </w:r>
          </w:p>
        </w:tc>
      </w:tr>
      <w:tr>
        <w:tc>
          <w:tcPr>
            <w:tcW w:type="dxa" w:w="2520"/>
          </w:tcPr>
          <w:p>
            <w:r>
              <w:t>15</w:t>
            </w:r>
          </w:p>
        </w:tc>
        <w:tc>
          <w:tcPr>
            <w:tcW w:type="dxa" w:w="2520"/>
          </w:tcPr>
          <w:p>
            <w:r>
              <w:t>Scale, Maps, Drawings, and Similar Figures</w:t>
            </w:r>
          </w:p>
        </w:tc>
        <w:tc>
          <w:tcPr>
            <w:tcW w:type="dxa" w:w="2520"/>
          </w:tcPr>
          <w:p>
            <w:r>
              <w:t>8</w:t>
            </w:r>
          </w:p>
        </w:tc>
        <w:tc>
          <w:tcPr>
            <w:tcW w:type="dxa" w:w="2520"/>
          </w:tcPr>
          <w:p>
            <w:r>
              <w:t>1</w:t>
            </w:r>
          </w:p>
        </w:tc>
      </w:tr>
      <w:tr>
        <w:tc>
          <w:tcPr>
            <w:tcW w:type="dxa" w:w="2520"/>
          </w:tcPr>
          <w:p>
            <w:r>
              <w:t>16</w:t>
            </w:r>
          </w:p>
        </w:tc>
        <w:tc>
          <w:tcPr>
            <w:tcW w:type="dxa" w:w="2520"/>
          </w:tcPr>
          <w:p>
            <w:r>
              <w:t>Mixed Proportional Problem Solving</w:t>
            </w:r>
          </w:p>
        </w:tc>
        <w:tc>
          <w:tcPr>
            <w:tcW w:type="dxa" w:w="2520"/>
          </w:tcPr>
          <w:p>
            <w:r>
              <w:t>7</w:t>
            </w:r>
          </w:p>
        </w:tc>
        <w:tc>
          <w:tcPr>
            <w:tcW w:type="dxa" w:w="2520"/>
          </w:tcPr>
          <w:p>
            <w:r>
              <w:t>1</w:t>
            </w:r>
          </w:p>
        </w:tc>
      </w:tr>
    </w:tbl>
    <w:p>
      <w:pPr>
        <w:pStyle w:val="Heading1"/>
      </w:pPr>
      <w:r>
        <w:t>Copyright and Classroom Use</w:t>
      </w:r>
    </w:p>
    <w:p>
      <w:r>
        <w:t>Copyright © 2026 Carlington Matthie. All rights reserved. These companion printable pages are for use with the purchased book. Worksheet pages may be reproduced by the purchasing teacher for classroom use in that teacher’s own classroom only, consistent with the book’s stated permission.</w:t>
      </w:r>
    </w:p>
    <w:sectPr w:rsidR="00FC693F" w:rsidRPr="0006063C" w:rsidSect="00034616">
      <w:pgSz w:w="12240" w:h="15840"/>
      <w:pgMar w:top="864" w:right="864" w:bottom="864" w:left="864" w:header="576"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Georgia" w:hAnsi="Georgia" w:cs="Georgia"/>
        <w:rFonts w:ascii="Georgia" w:eastAsia="Georgia" w:hAnsi="Georgia" w:cs="Georgia"/>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Georgia" w:eastAsia="Georgia" w:hAnsi="Georgia" w:cs="Georgia"/>
      <w:b/>
      <w:bCs/>
      <w:color w:val="146B66"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Georgia" w:eastAsia="Georgia" w:hAnsi="Georgia" w:cs="Georgia"/>
      <w:b/>
      <w:bCs/>
      <w:color w:val="146B66"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Georgia" w:eastAsia="Georgia" w:hAnsi="Georgia" w:cs="Georgia"/>
      <w:b/>
      <w:bCs/>
      <w:color w:val="146B66"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rsid w:val="00FC693F"/>
    <w:rPr>
      <w:rFonts w:ascii="Georgia" w:eastAsia="Georgia" w:hAnsi="Georgia" w:cs="Georgia"/>
      <w:b/>
      <w:bCs/>
      <w:color w:val="4F81BD" w:themeColor="accent1"/>
    </w:rPr>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color w:val="146B66" w:themeColor="text2" w:themeShade="BF"/>
      <w:spacing w:val="5"/>
      <w:kern w:val="28"/>
      <w:sz w:val="52"/>
      <w:szCs w:val="52"/>
    </w:rPr>
  </w:style>
  <w:style w:type="character" w:customStyle="1" w:styleId="TitleChar">
    <w:name w:val="Title Char"/>
    <w:basedOn w:val="DefaultParagraphFont"/>
    <w:link w:val="Title"/>
    <w:uiPriority w:val="10"/>
    <w:rsid w:val="00FC693F"/>
    <w:rPr>
      <w:rFonts w:ascii="Georgia" w:eastAsia="Georgia" w:hAnsi="Georgia" w:cs="Georgia"/>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Georgia" w:eastAsia="Georgia" w:hAnsi="Georgia" w:cs="Georgia"/>
      <w:i/>
      <w:iCs/>
      <w:color w:val="146B66" w:themeColor="accent1"/>
      <w:spacing w:val="15"/>
      <w:sz w:val="24"/>
      <w:szCs w:val="24"/>
    </w:rPr>
  </w:style>
  <w:style w:type="character" w:customStyle="1" w:styleId="SubtitleChar">
    <w:name w:val="Subtitle Char"/>
    <w:basedOn w:val="DefaultParagraphFont"/>
    <w:link w:val="Subtitle"/>
    <w:uiPriority w:val="11"/>
    <w:rsid w:val="00FC693F"/>
    <w:rPr>
      <w:rFonts w:ascii="Georgia" w:eastAsia="Georgia" w:hAnsi="Georgia" w:cs="Georgia"/>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Georgia" w:hAnsi="Georgia"/>
      <w:sz w:val="20"/>
      <w:szCs w:val="20"/>
    </w:rPr>
  </w:style>
  <w:style w:type="character" w:customStyle="1" w:styleId="MacroTextChar">
    <w:name w:val="Macro Text Char"/>
    <w:basedOn w:val="DefaultParagraphFont"/>
    <w:link w:val="MacroText"/>
    <w:uiPriority w:val="99"/>
    <w:rsid w:val="0029639D"/>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rsid w:val="00FC693F"/>
    <w:rPr>
      <w:rFonts w:ascii="Georgia" w:eastAsia="Georgia" w:hAnsi="Georgia" w:cs="Georgia"/>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Georgia" w:eastAsia="Georgia" w:hAnsi="Georgia" w:cs="Georgia"/>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Georgia" w:eastAsia="Georgia" w:hAnsi="Georgia" w:cs="Georgia"/>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Georgia" w:eastAsia="Georgia" w:hAnsi="Georgia" w:cs="Georgia"/>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Georgia" w:eastAsia="Georgia" w:hAnsi="Georgia" w:cs="Georgia"/>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Georgia" w:eastAsia="Georgia" w:hAnsi="Georgia" w:cs="Georgia"/>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Georgia" w:eastAsia="Georgia" w:hAnsi="Georgia" w:cs="Georgia"/>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Georgia" w:eastAsia="Georgia" w:hAnsi="Georgia" w:cs="Georgia"/>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Georgia" w:eastAsia="Georgia" w:hAnsi="Georgia" w:cs="Georgia"/>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Georgia" w:eastAsia="Georgia" w:hAnsi="Georgia" w:cs="Georgia"/>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Georgia" w:eastAsia="Georgia" w:hAnsi="Georgia" w:cs="Georgia"/>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Georgia" w:eastAsia="Georgia" w:hAnsi="Georgia" w:cs="Georgia"/>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Georgia" w:eastAsia="Georgia" w:hAnsi="Georgia" w:cs="Georgia"/>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Georgia" w:eastAsia="Georgia" w:hAnsi="Georgia" w:cs="Georgia"/>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Georgia" w:eastAsia="Georgia" w:hAnsi="Georgia" w:cs="Georgia"/>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Georg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